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43DE3" w:rsidRDefault="00543DE3" w:rsidP="00543DE3">
      <w:pPr>
        <w:spacing w:line="480" w:lineRule="auto"/>
        <w:rPr>
          <w:rFonts w:ascii="Times New Roman" w:hAnsi="Times New Roman" w:cs="Times New Roman"/>
          <w:sz w:val="24"/>
          <w:szCs w:val="24"/>
        </w:rPr>
      </w:pPr>
    </w:p>
    <w:p w:rsidR="00543DE3" w:rsidRDefault="00543DE3" w:rsidP="00543DE3">
      <w:pPr>
        <w:spacing w:line="480" w:lineRule="auto"/>
        <w:rPr>
          <w:rFonts w:ascii="Times New Roman" w:hAnsi="Times New Roman" w:cs="Times New Roman"/>
          <w:sz w:val="24"/>
          <w:szCs w:val="24"/>
        </w:rPr>
      </w:pPr>
    </w:p>
    <w:p w:rsidR="00543DE3" w:rsidRDefault="00543DE3" w:rsidP="00543DE3">
      <w:pPr>
        <w:spacing w:line="480" w:lineRule="auto"/>
        <w:rPr>
          <w:rFonts w:ascii="Times New Roman" w:hAnsi="Times New Roman" w:cs="Times New Roman"/>
          <w:sz w:val="24"/>
          <w:szCs w:val="24"/>
        </w:rPr>
      </w:pPr>
    </w:p>
    <w:p w:rsidR="00543DE3" w:rsidRDefault="00543DE3" w:rsidP="00543DE3">
      <w:pPr>
        <w:spacing w:line="480" w:lineRule="auto"/>
        <w:rPr>
          <w:rFonts w:ascii="Times New Roman" w:hAnsi="Times New Roman" w:cs="Times New Roman"/>
          <w:sz w:val="24"/>
          <w:szCs w:val="24"/>
        </w:rPr>
      </w:pPr>
    </w:p>
    <w:p w:rsidR="00543DE3" w:rsidRDefault="00543DE3" w:rsidP="00543DE3">
      <w:pPr>
        <w:spacing w:line="480" w:lineRule="auto"/>
        <w:rPr>
          <w:rFonts w:ascii="Times New Roman" w:hAnsi="Times New Roman" w:cs="Times New Roman"/>
          <w:sz w:val="24"/>
          <w:szCs w:val="24"/>
        </w:rPr>
      </w:pPr>
    </w:p>
    <w:p w:rsidR="00543DE3" w:rsidRDefault="00543DE3" w:rsidP="00543DE3">
      <w:pPr>
        <w:spacing w:line="480" w:lineRule="auto"/>
        <w:rPr>
          <w:rFonts w:ascii="Times New Roman" w:hAnsi="Times New Roman" w:cs="Times New Roman"/>
          <w:sz w:val="24"/>
          <w:szCs w:val="24"/>
        </w:rPr>
      </w:pPr>
    </w:p>
    <w:p w:rsidR="00543DE3" w:rsidRPr="00543DE3" w:rsidRDefault="00543DE3" w:rsidP="00543DE3">
      <w:pPr>
        <w:spacing w:line="480" w:lineRule="auto"/>
        <w:jc w:val="center"/>
        <w:rPr>
          <w:rFonts w:ascii="Times New Roman" w:hAnsi="Times New Roman" w:cs="Times New Roman"/>
          <w:b/>
          <w:sz w:val="24"/>
          <w:szCs w:val="24"/>
        </w:rPr>
      </w:pPr>
      <w:r w:rsidRPr="00543DE3">
        <w:rPr>
          <w:rFonts w:ascii="Times New Roman" w:hAnsi="Times New Roman" w:cs="Times New Roman"/>
          <w:b/>
          <w:sz w:val="24"/>
          <w:szCs w:val="24"/>
        </w:rPr>
        <w:t>Assignment 2</w:t>
      </w:r>
    </w:p>
    <w:p w:rsidR="00543DE3" w:rsidRDefault="00543DE3" w:rsidP="00543DE3">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543DE3" w:rsidRDefault="00543DE3" w:rsidP="00543DE3">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543DE3" w:rsidRDefault="00543DE3" w:rsidP="00543DE3">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543DE3" w:rsidRDefault="00543DE3" w:rsidP="00543DE3">
      <w:pPr>
        <w:spacing w:line="480" w:lineRule="auto"/>
        <w:rPr>
          <w:rFonts w:ascii="Times New Roman" w:hAnsi="Times New Roman" w:cs="Times New Roman"/>
          <w:sz w:val="24"/>
          <w:szCs w:val="24"/>
        </w:rPr>
      </w:pPr>
    </w:p>
    <w:p w:rsidR="00543DE3" w:rsidRDefault="00543DE3" w:rsidP="00543DE3">
      <w:pPr>
        <w:spacing w:line="480" w:lineRule="auto"/>
        <w:rPr>
          <w:rFonts w:ascii="Times New Roman" w:hAnsi="Times New Roman" w:cs="Times New Roman"/>
          <w:sz w:val="24"/>
          <w:szCs w:val="24"/>
        </w:rPr>
      </w:pPr>
    </w:p>
    <w:p w:rsidR="00543DE3" w:rsidRDefault="00543DE3" w:rsidP="00543DE3">
      <w:pPr>
        <w:spacing w:line="480" w:lineRule="auto"/>
        <w:rPr>
          <w:rFonts w:ascii="Times New Roman" w:hAnsi="Times New Roman" w:cs="Times New Roman"/>
          <w:sz w:val="24"/>
          <w:szCs w:val="24"/>
        </w:rPr>
      </w:pPr>
    </w:p>
    <w:p w:rsidR="00543DE3" w:rsidRDefault="00543DE3" w:rsidP="00543DE3">
      <w:pPr>
        <w:spacing w:line="480" w:lineRule="auto"/>
        <w:rPr>
          <w:rFonts w:ascii="Times New Roman" w:hAnsi="Times New Roman" w:cs="Times New Roman"/>
          <w:sz w:val="24"/>
          <w:szCs w:val="24"/>
        </w:rPr>
      </w:pPr>
    </w:p>
    <w:p w:rsidR="00543DE3" w:rsidRDefault="00543DE3" w:rsidP="00543DE3">
      <w:pPr>
        <w:spacing w:line="480" w:lineRule="auto"/>
        <w:rPr>
          <w:rFonts w:ascii="Times New Roman" w:hAnsi="Times New Roman" w:cs="Times New Roman"/>
          <w:sz w:val="24"/>
          <w:szCs w:val="24"/>
        </w:rPr>
      </w:pPr>
    </w:p>
    <w:p w:rsidR="00543DE3" w:rsidRDefault="00543DE3" w:rsidP="00543DE3">
      <w:pPr>
        <w:spacing w:line="480" w:lineRule="auto"/>
        <w:rPr>
          <w:rFonts w:ascii="Times New Roman" w:hAnsi="Times New Roman" w:cs="Times New Roman"/>
          <w:sz w:val="24"/>
          <w:szCs w:val="24"/>
        </w:rPr>
      </w:pPr>
    </w:p>
    <w:p w:rsidR="00543DE3" w:rsidRDefault="00543DE3" w:rsidP="00543DE3">
      <w:pPr>
        <w:spacing w:line="480" w:lineRule="auto"/>
        <w:rPr>
          <w:rFonts w:ascii="Times New Roman" w:hAnsi="Times New Roman" w:cs="Times New Roman"/>
          <w:sz w:val="24"/>
          <w:szCs w:val="24"/>
        </w:rPr>
      </w:pPr>
    </w:p>
    <w:p w:rsidR="000A0E45" w:rsidRPr="00543DE3" w:rsidRDefault="000A0E45" w:rsidP="00543DE3">
      <w:pPr>
        <w:spacing w:line="480" w:lineRule="auto"/>
        <w:jc w:val="center"/>
        <w:rPr>
          <w:rFonts w:ascii="Times New Roman" w:hAnsi="Times New Roman" w:cs="Times New Roman"/>
          <w:b/>
          <w:sz w:val="24"/>
          <w:szCs w:val="24"/>
        </w:rPr>
      </w:pPr>
      <w:r w:rsidRPr="00543DE3">
        <w:rPr>
          <w:rFonts w:ascii="Times New Roman" w:hAnsi="Times New Roman" w:cs="Times New Roman"/>
          <w:b/>
          <w:sz w:val="24"/>
          <w:szCs w:val="24"/>
        </w:rPr>
        <w:lastRenderedPageBreak/>
        <w:t>Assignment 2</w:t>
      </w:r>
    </w:p>
    <w:p w:rsidR="000A0E45" w:rsidRPr="000A0E45" w:rsidRDefault="000A0E45" w:rsidP="00543DE3">
      <w:pPr>
        <w:spacing w:line="480" w:lineRule="auto"/>
        <w:ind w:firstLine="720"/>
        <w:rPr>
          <w:rFonts w:ascii="Times New Roman" w:hAnsi="Times New Roman" w:cs="Times New Roman"/>
          <w:sz w:val="24"/>
          <w:szCs w:val="24"/>
        </w:rPr>
      </w:pPr>
      <w:r w:rsidRPr="000A0E45">
        <w:rPr>
          <w:rFonts w:ascii="Times New Roman" w:hAnsi="Times New Roman" w:cs="Times New Roman"/>
          <w:sz w:val="24"/>
          <w:szCs w:val="24"/>
        </w:rPr>
        <w:t>Based on the framework issued by the Committee of Sponsoring Organizations of the Treadway Commission (COSO), there are five components that can be used for internal controls namely, control environment, risk assessment, control activities, information and communication, and monitoring</w:t>
      </w:r>
      <w:r w:rsidR="006E4FDF">
        <w:rPr>
          <w:rFonts w:ascii="Times New Roman" w:hAnsi="Times New Roman" w:cs="Times New Roman"/>
          <w:sz w:val="24"/>
          <w:szCs w:val="24"/>
        </w:rPr>
        <w:t xml:space="preserve"> (</w:t>
      </w:r>
      <w:r w:rsidR="006E4FDF" w:rsidRPr="006E4FDF">
        <w:rPr>
          <w:rFonts w:ascii="Times New Roman" w:eastAsia="Times New Roman" w:hAnsi="Times New Roman" w:cs="Times New Roman"/>
          <w:sz w:val="24"/>
          <w:szCs w:val="24"/>
        </w:rPr>
        <w:t>Rae</w:t>
      </w:r>
      <w:r w:rsidR="006E4FDF">
        <w:rPr>
          <w:rFonts w:ascii="Times New Roman" w:eastAsia="Times New Roman" w:hAnsi="Times New Roman" w:cs="Times New Roman"/>
          <w:sz w:val="24"/>
          <w:szCs w:val="24"/>
        </w:rPr>
        <w:t xml:space="preserve"> et al., 2017)</w:t>
      </w:r>
      <w:r w:rsidRPr="000A0E45">
        <w:rPr>
          <w:rFonts w:ascii="Times New Roman" w:hAnsi="Times New Roman" w:cs="Times New Roman"/>
          <w:sz w:val="24"/>
          <w:szCs w:val="24"/>
        </w:rPr>
        <w:t>. Based on the tenet of the control environment, organizations should uphold integrity and ethics in their activities, create an effective organizational structure, utilize policies and regulations safeguarding human resources, and ensure that human resources are committed to competence. Ethics and integrity call for business organizations to provide value to customers, uphold transparency and honesty in financial activities like auditing, and to ensure that products are made of genuine ingredients. Policies and regulations surrounding human resources call for organizations to treat all employees equally. Risk assessment call for organizations to manage change effectively and create objectives for the overall organizations, and undertake activities of risk identification as well as analysis.</w:t>
      </w:r>
    </w:p>
    <w:p w:rsidR="000A0E45" w:rsidRPr="000A0E45" w:rsidRDefault="000A0E45" w:rsidP="00543DE3">
      <w:pPr>
        <w:spacing w:line="480" w:lineRule="auto"/>
        <w:ind w:firstLine="720"/>
        <w:rPr>
          <w:rFonts w:ascii="Times New Roman" w:hAnsi="Times New Roman" w:cs="Times New Roman"/>
          <w:sz w:val="24"/>
          <w:szCs w:val="24"/>
        </w:rPr>
      </w:pPr>
      <w:r w:rsidRPr="000A0E45">
        <w:rPr>
          <w:rFonts w:ascii="Times New Roman" w:hAnsi="Times New Roman" w:cs="Times New Roman"/>
          <w:sz w:val="24"/>
          <w:szCs w:val="24"/>
        </w:rPr>
        <w:t>The component of control activities in companies calls for them to adhere to established policies alongside procedures, enhance security, plan initiatives that ensure business continuity, and undertake activities, like outsourcing. Policies and procedures governing business organizations may include those enacted by the government, such as tax obligations, employee deductions for pension or medical schemes, auditing requirements, and business registration</w:t>
      </w:r>
      <w:r w:rsidR="006E4FDF">
        <w:rPr>
          <w:rFonts w:ascii="Times New Roman" w:hAnsi="Times New Roman" w:cs="Times New Roman"/>
          <w:sz w:val="24"/>
          <w:szCs w:val="24"/>
        </w:rPr>
        <w:t xml:space="preserve"> (</w:t>
      </w:r>
      <w:r w:rsidR="006E4FDF" w:rsidRPr="006E4FDF">
        <w:rPr>
          <w:rFonts w:ascii="Times New Roman" w:eastAsia="Times New Roman" w:hAnsi="Times New Roman" w:cs="Times New Roman"/>
          <w:sz w:val="24"/>
          <w:szCs w:val="24"/>
        </w:rPr>
        <w:t>Rae</w:t>
      </w:r>
      <w:r w:rsidR="006E4FDF">
        <w:rPr>
          <w:rFonts w:ascii="Times New Roman" w:eastAsia="Times New Roman" w:hAnsi="Times New Roman" w:cs="Times New Roman"/>
          <w:sz w:val="24"/>
          <w:szCs w:val="24"/>
        </w:rPr>
        <w:t xml:space="preserve"> et al., 2017)</w:t>
      </w:r>
      <w:r w:rsidRPr="000A0E45">
        <w:rPr>
          <w:rFonts w:ascii="Times New Roman" w:hAnsi="Times New Roman" w:cs="Times New Roman"/>
          <w:sz w:val="24"/>
          <w:szCs w:val="24"/>
        </w:rPr>
        <w:t xml:space="preserve">. Companies should also plan for continuity of their operations, like incorporating technology and risk assessment. The component of information and communication calls for business organizations to measure the quality of available information as well as the effectiveness of communication strategies. Not all information available to an </w:t>
      </w:r>
      <w:r w:rsidRPr="000A0E45">
        <w:rPr>
          <w:rFonts w:ascii="Times New Roman" w:hAnsi="Times New Roman" w:cs="Times New Roman"/>
          <w:sz w:val="24"/>
          <w:szCs w:val="24"/>
        </w:rPr>
        <w:lastRenderedPageBreak/>
        <w:t>organization is of the highest quality, and therefore business organizations have to ensure that they scrutinize all information before relying on it. One way they can do this is to identify the source of the information and its currency. Effective communication in an organization is imperative for the achievement of organizational objectives. Monitoring calls for organizations to keep track of their activities to determine if objectives are being achieved or not. The above components establish the basis for effective internal control through effective leadership, culture as well as shared values that emphasize control accountability.</w:t>
      </w:r>
    </w:p>
    <w:p w:rsidR="00E14B6C" w:rsidRDefault="000A0E45" w:rsidP="00543DE3">
      <w:pPr>
        <w:spacing w:line="480" w:lineRule="auto"/>
        <w:ind w:firstLine="720"/>
        <w:rPr>
          <w:rFonts w:ascii="Times New Roman" w:hAnsi="Times New Roman" w:cs="Times New Roman"/>
          <w:sz w:val="24"/>
          <w:szCs w:val="24"/>
        </w:rPr>
      </w:pPr>
      <w:r w:rsidRPr="000A0E45">
        <w:rPr>
          <w:rFonts w:ascii="Times New Roman" w:hAnsi="Times New Roman" w:cs="Times New Roman"/>
          <w:sz w:val="24"/>
          <w:szCs w:val="24"/>
        </w:rPr>
        <w:t>One of the controls that I find interesting is that of the following policies as well as procedures. Business organizations do not operate on their own. Rather they have to adhere to policies and procedures initiated and implemented by the government. Such policies include business registration requirements, tax obligations, and adherence to environmental requirements like minimizing environmental pollution, auditing requirements, and policies governing the management of human resources</w:t>
      </w:r>
      <w:r w:rsidR="006E4FDF">
        <w:rPr>
          <w:rFonts w:ascii="Times New Roman" w:hAnsi="Times New Roman" w:cs="Times New Roman"/>
          <w:sz w:val="24"/>
          <w:szCs w:val="24"/>
        </w:rPr>
        <w:t xml:space="preserve"> (</w:t>
      </w:r>
      <w:r w:rsidR="006E4FDF" w:rsidRPr="006E4FDF">
        <w:rPr>
          <w:rFonts w:ascii="Times New Roman" w:eastAsia="Times New Roman" w:hAnsi="Times New Roman" w:cs="Times New Roman"/>
          <w:sz w:val="24"/>
          <w:szCs w:val="24"/>
        </w:rPr>
        <w:t>Lawson</w:t>
      </w:r>
      <w:r w:rsidR="006E4FDF">
        <w:rPr>
          <w:rFonts w:ascii="Times New Roman" w:eastAsia="Times New Roman" w:hAnsi="Times New Roman" w:cs="Times New Roman"/>
          <w:sz w:val="24"/>
          <w:szCs w:val="24"/>
        </w:rPr>
        <w:t xml:space="preserve"> et al., 2017)</w:t>
      </w:r>
      <w:r w:rsidRPr="000A0E45">
        <w:rPr>
          <w:rFonts w:ascii="Times New Roman" w:hAnsi="Times New Roman" w:cs="Times New Roman"/>
          <w:sz w:val="24"/>
          <w:szCs w:val="24"/>
        </w:rPr>
        <w:t xml:space="preserve">. Business organizations have to owe allegiance to these policies and procedures to avoid confrontations with law enforcement officers and ensure the smooth running of their organizations. </w:t>
      </w:r>
    </w:p>
    <w:p w:rsidR="00543DE3" w:rsidRDefault="00543DE3" w:rsidP="00543DE3">
      <w:pPr>
        <w:spacing w:line="480" w:lineRule="auto"/>
        <w:jc w:val="center"/>
        <w:rPr>
          <w:rFonts w:ascii="Times New Roman" w:hAnsi="Times New Roman" w:cs="Times New Roman"/>
          <w:b/>
          <w:sz w:val="24"/>
          <w:szCs w:val="24"/>
        </w:rPr>
      </w:pPr>
    </w:p>
    <w:p w:rsidR="00543DE3" w:rsidRDefault="00543DE3" w:rsidP="00543DE3">
      <w:pPr>
        <w:spacing w:line="480" w:lineRule="auto"/>
        <w:jc w:val="center"/>
        <w:rPr>
          <w:rFonts w:ascii="Times New Roman" w:hAnsi="Times New Roman" w:cs="Times New Roman"/>
          <w:b/>
          <w:sz w:val="24"/>
          <w:szCs w:val="24"/>
        </w:rPr>
      </w:pPr>
    </w:p>
    <w:p w:rsidR="00543DE3" w:rsidRDefault="00543DE3" w:rsidP="00543DE3">
      <w:pPr>
        <w:spacing w:line="480" w:lineRule="auto"/>
        <w:jc w:val="center"/>
        <w:rPr>
          <w:rFonts w:ascii="Times New Roman" w:hAnsi="Times New Roman" w:cs="Times New Roman"/>
          <w:b/>
          <w:sz w:val="24"/>
          <w:szCs w:val="24"/>
        </w:rPr>
      </w:pPr>
    </w:p>
    <w:p w:rsidR="00543DE3" w:rsidRDefault="00543DE3" w:rsidP="00543DE3">
      <w:pPr>
        <w:spacing w:line="480" w:lineRule="auto"/>
        <w:jc w:val="center"/>
        <w:rPr>
          <w:rFonts w:ascii="Times New Roman" w:hAnsi="Times New Roman" w:cs="Times New Roman"/>
          <w:b/>
          <w:sz w:val="24"/>
          <w:szCs w:val="24"/>
        </w:rPr>
      </w:pPr>
    </w:p>
    <w:p w:rsidR="00543DE3" w:rsidRDefault="00543DE3" w:rsidP="00543DE3">
      <w:pPr>
        <w:spacing w:line="480" w:lineRule="auto"/>
        <w:jc w:val="center"/>
        <w:rPr>
          <w:rFonts w:ascii="Times New Roman" w:hAnsi="Times New Roman" w:cs="Times New Roman"/>
          <w:b/>
          <w:sz w:val="24"/>
          <w:szCs w:val="24"/>
        </w:rPr>
      </w:pPr>
    </w:p>
    <w:p w:rsidR="00543DE3" w:rsidRDefault="00543DE3" w:rsidP="00543DE3">
      <w:pPr>
        <w:spacing w:line="480" w:lineRule="auto"/>
        <w:jc w:val="center"/>
        <w:rPr>
          <w:rFonts w:ascii="Times New Roman" w:hAnsi="Times New Roman" w:cs="Times New Roman"/>
          <w:b/>
          <w:sz w:val="24"/>
          <w:szCs w:val="24"/>
        </w:rPr>
      </w:pPr>
    </w:p>
    <w:p w:rsidR="00543DE3" w:rsidRPr="00543DE3" w:rsidRDefault="00E14B6C" w:rsidP="00543DE3">
      <w:pPr>
        <w:spacing w:line="480" w:lineRule="auto"/>
        <w:jc w:val="center"/>
        <w:rPr>
          <w:rFonts w:ascii="Times New Roman" w:hAnsi="Times New Roman" w:cs="Times New Roman"/>
          <w:b/>
          <w:sz w:val="24"/>
          <w:szCs w:val="24"/>
        </w:rPr>
      </w:pPr>
      <w:bookmarkStart w:id="0" w:name="_GoBack"/>
      <w:bookmarkEnd w:id="0"/>
      <w:r w:rsidRPr="00543DE3">
        <w:rPr>
          <w:rFonts w:ascii="Times New Roman" w:hAnsi="Times New Roman" w:cs="Times New Roman"/>
          <w:b/>
          <w:sz w:val="24"/>
          <w:szCs w:val="24"/>
        </w:rPr>
        <w:lastRenderedPageBreak/>
        <w:t>References</w:t>
      </w:r>
    </w:p>
    <w:p w:rsidR="00543DE3" w:rsidRPr="006E4FDF" w:rsidRDefault="00543DE3" w:rsidP="00543DE3">
      <w:pPr>
        <w:spacing w:after="0" w:line="480" w:lineRule="auto"/>
        <w:ind w:left="720" w:hanging="720"/>
        <w:rPr>
          <w:rFonts w:ascii="Times New Roman" w:eastAsia="Times New Roman" w:hAnsi="Times New Roman" w:cs="Times New Roman"/>
          <w:sz w:val="24"/>
          <w:szCs w:val="24"/>
        </w:rPr>
      </w:pPr>
      <w:r w:rsidRPr="006E4FDF">
        <w:rPr>
          <w:rFonts w:ascii="Times New Roman" w:eastAsia="Times New Roman" w:hAnsi="Times New Roman" w:cs="Times New Roman"/>
          <w:sz w:val="24"/>
          <w:szCs w:val="24"/>
        </w:rPr>
        <w:t>Lawson, B. P., Muriel, L., &amp; Sanders, P. R. (2017).A survey on firms' implementation of COSO's 2013 Internal Control–Integrated Framework.</w:t>
      </w:r>
      <w:r w:rsidRPr="006E4FDF">
        <w:rPr>
          <w:rFonts w:ascii="Times New Roman" w:eastAsia="Times New Roman" w:hAnsi="Times New Roman" w:cs="Times New Roman"/>
          <w:i/>
          <w:iCs/>
          <w:sz w:val="24"/>
          <w:szCs w:val="24"/>
        </w:rPr>
        <w:t>Research in accounting regulation</w:t>
      </w:r>
      <w:r w:rsidRPr="006E4FDF">
        <w:rPr>
          <w:rFonts w:ascii="Times New Roman" w:eastAsia="Times New Roman" w:hAnsi="Times New Roman" w:cs="Times New Roman"/>
          <w:sz w:val="24"/>
          <w:szCs w:val="24"/>
        </w:rPr>
        <w:t xml:space="preserve">, </w:t>
      </w:r>
      <w:r w:rsidRPr="006E4FDF">
        <w:rPr>
          <w:rFonts w:ascii="Times New Roman" w:eastAsia="Times New Roman" w:hAnsi="Times New Roman" w:cs="Times New Roman"/>
          <w:i/>
          <w:iCs/>
          <w:sz w:val="24"/>
          <w:szCs w:val="24"/>
        </w:rPr>
        <w:t>29</w:t>
      </w:r>
      <w:r w:rsidRPr="006E4FDF">
        <w:rPr>
          <w:rFonts w:ascii="Times New Roman" w:eastAsia="Times New Roman" w:hAnsi="Times New Roman" w:cs="Times New Roman"/>
          <w:sz w:val="24"/>
          <w:szCs w:val="24"/>
        </w:rPr>
        <w:t>(1), 30-43.</w:t>
      </w:r>
    </w:p>
    <w:p w:rsidR="00543DE3" w:rsidRPr="006E4FDF" w:rsidRDefault="00543DE3" w:rsidP="00543DE3">
      <w:pPr>
        <w:spacing w:after="0" w:line="480" w:lineRule="auto"/>
        <w:ind w:left="720" w:hanging="720"/>
        <w:rPr>
          <w:rFonts w:ascii="Times New Roman" w:eastAsia="Times New Roman" w:hAnsi="Times New Roman" w:cs="Times New Roman"/>
          <w:sz w:val="24"/>
          <w:szCs w:val="24"/>
        </w:rPr>
      </w:pPr>
      <w:r w:rsidRPr="006E4FDF">
        <w:rPr>
          <w:rFonts w:ascii="Times New Roman" w:eastAsia="Times New Roman" w:hAnsi="Times New Roman" w:cs="Times New Roman"/>
          <w:sz w:val="24"/>
          <w:szCs w:val="24"/>
        </w:rPr>
        <w:t>Rae, K., Sands, J., &amp;Subramaniam, N. (2017).Associations among the five components within COSO internal control-integrated framework as the underpinning of quality corporate governance.</w:t>
      </w:r>
      <w:r w:rsidRPr="006E4FDF">
        <w:rPr>
          <w:rFonts w:ascii="Times New Roman" w:eastAsia="Times New Roman" w:hAnsi="Times New Roman" w:cs="Times New Roman"/>
          <w:i/>
          <w:iCs/>
          <w:sz w:val="24"/>
          <w:szCs w:val="24"/>
        </w:rPr>
        <w:t>Australasian Accounting, Business and Finance Journal</w:t>
      </w:r>
      <w:r w:rsidRPr="006E4FDF">
        <w:rPr>
          <w:rFonts w:ascii="Times New Roman" w:eastAsia="Times New Roman" w:hAnsi="Times New Roman" w:cs="Times New Roman"/>
          <w:sz w:val="24"/>
          <w:szCs w:val="24"/>
        </w:rPr>
        <w:t xml:space="preserve">, </w:t>
      </w:r>
      <w:r w:rsidRPr="006E4FDF">
        <w:rPr>
          <w:rFonts w:ascii="Times New Roman" w:eastAsia="Times New Roman" w:hAnsi="Times New Roman" w:cs="Times New Roman"/>
          <w:i/>
          <w:iCs/>
          <w:sz w:val="24"/>
          <w:szCs w:val="24"/>
        </w:rPr>
        <w:t>11</w:t>
      </w:r>
      <w:r w:rsidRPr="006E4FDF">
        <w:rPr>
          <w:rFonts w:ascii="Times New Roman" w:eastAsia="Times New Roman" w:hAnsi="Times New Roman" w:cs="Times New Roman"/>
          <w:sz w:val="24"/>
          <w:szCs w:val="24"/>
        </w:rPr>
        <w:t>(1), 28-54.</w:t>
      </w:r>
    </w:p>
    <w:p w:rsidR="000C023A" w:rsidRPr="000A0E45" w:rsidRDefault="000C023A" w:rsidP="00543DE3">
      <w:pPr>
        <w:spacing w:line="480" w:lineRule="auto"/>
      </w:pPr>
    </w:p>
    <w:sectPr w:rsidR="000C023A" w:rsidRPr="000A0E45" w:rsidSect="00543DE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E07B5" w:rsidRDefault="00DE07B5" w:rsidP="00543DE3">
      <w:pPr>
        <w:spacing w:after="0" w:line="240" w:lineRule="auto"/>
      </w:pPr>
      <w:r>
        <w:separator/>
      </w:r>
    </w:p>
  </w:endnote>
  <w:endnote w:type="continuationSeparator" w:id="1">
    <w:p w:rsidR="00DE07B5" w:rsidRDefault="00DE07B5" w:rsidP="00543DE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E07B5" w:rsidRDefault="00DE07B5" w:rsidP="00543DE3">
      <w:pPr>
        <w:spacing w:after="0" w:line="240" w:lineRule="auto"/>
      </w:pPr>
      <w:r>
        <w:separator/>
      </w:r>
    </w:p>
  </w:footnote>
  <w:footnote w:type="continuationSeparator" w:id="1">
    <w:p w:rsidR="00DE07B5" w:rsidRDefault="00DE07B5" w:rsidP="00543DE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3DE3" w:rsidRPr="00543DE3" w:rsidRDefault="00543DE3">
    <w:pPr>
      <w:pStyle w:val="Header"/>
      <w:rPr>
        <w:rFonts w:ascii="Times New Roman" w:hAnsi="Times New Roman" w:cs="Times New Roman"/>
        <w:sz w:val="24"/>
        <w:szCs w:val="24"/>
      </w:rPr>
    </w:pPr>
    <w:r>
      <w:tab/>
    </w:r>
    <w:r>
      <w:tab/>
    </w:r>
    <w:r w:rsidR="00DB5335" w:rsidRPr="00543DE3">
      <w:rPr>
        <w:rFonts w:ascii="Times New Roman" w:hAnsi="Times New Roman" w:cs="Times New Roman"/>
        <w:sz w:val="24"/>
        <w:szCs w:val="24"/>
      </w:rPr>
      <w:fldChar w:fldCharType="begin"/>
    </w:r>
    <w:r w:rsidRPr="00543DE3">
      <w:rPr>
        <w:rFonts w:ascii="Times New Roman" w:hAnsi="Times New Roman" w:cs="Times New Roman"/>
        <w:sz w:val="24"/>
        <w:szCs w:val="24"/>
      </w:rPr>
      <w:instrText xml:space="preserve"> PAGE   \* MERGEFORMAT </w:instrText>
    </w:r>
    <w:r w:rsidR="00DB5335" w:rsidRPr="00543DE3">
      <w:rPr>
        <w:rFonts w:ascii="Times New Roman" w:hAnsi="Times New Roman" w:cs="Times New Roman"/>
        <w:sz w:val="24"/>
        <w:szCs w:val="24"/>
      </w:rPr>
      <w:fldChar w:fldCharType="separate"/>
    </w:r>
    <w:r w:rsidR="002428DB">
      <w:rPr>
        <w:rFonts w:ascii="Times New Roman" w:hAnsi="Times New Roman" w:cs="Times New Roman"/>
        <w:noProof/>
        <w:sz w:val="24"/>
        <w:szCs w:val="24"/>
      </w:rPr>
      <w:t>4</w:t>
    </w:r>
    <w:r w:rsidR="00DB5335" w:rsidRPr="00543DE3">
      <w:rPr>
        <w:rFonts w:ascii="Times New Roman" w:hAnsi="Times New Roman" w:cs="Times New Roman"/>
        <w:noProof/>
        <w:sz w:val="24"/>
        <w:szCs w:val="24"/>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3DE3" w:rsidRPr="00543DE3" w:rsidRDefault="00543DE3">
    <w:pPr>
      <w:pStyle w:val="Header"/>
      <w:rPr>
        <w:rFonts w:ascii="Times New Roman" w:hAnsi="Times New Roman" w:cs="Times New Roman"/>
        <w:sz w:val="24"/>
        <w:szCs w:val="24"/>
      </w:rPr>
    </w:pPr>
    <w:r>
      <w:tab/>
    </w:r>
    <w:r>
      <w:tab/>
    </w:r>
    <w:r w:rsidR="00DB5335" w:rsidRPr="00543DE3">
      <w:rPr>
        <w:rFonts w:ascii="Times New Roman" w:hAnsi="Times New Roman" w:cs="Times New Roman"/>
        <w:sz w:val="24"/>
        <w:szCs w:val="24"/>
      </w:rPr>
      <w:fldChar w:fldCharType="begin"/>
    </w:r>
    <w:r w:rsidRPr="00543DE3">
      <w:rPr>
        <w:rFonts w:ascii="Times New Roman" w:hAnsi="Times New Roman" w:cs="Times New Roman"/>
        <w:sz w:val="24"/>
        <w:szCs w:val="24"/>
      </w:rPr>
      <w:instrText xml:space="preserve"> PAGE   \* MERGEFORMAT </w:instrText>
    </w:r>
    <w:r w:rsidR="00DB5335" w:rsidRPr="00543DE3">
      <w:rPr>
        <w:rFonts w:ascii="Times New Roman" w:hAnsi="Times New Roman" w:cs="Times New Roman"/>
        <w:sz w:val="24"/>
        <w:szCs w:val="24"/>
      </w:rPr>
      <w:fldChar w:fldCharType="separate"/>
    </w:r>
    <w:r w:rsidR="002428DB">
      <w:rPr>
        <w:rFonts w:ascii="Times New Roman" w:hAnsi="Times New Roman" w:cs="Times New Roman"/>
        <w:noProof/>
        <w:sz w:val="24"/>
        <w:szCs w:val="24"/>
      </w:rPr>
      <w:t>1</w:t>
    </w:r>
    <w:r w:rsidR="00DB5335" w:rsidRPr="00543DE3">
      <w:rPr>
        <w:rFonts w:ascii="Times New Roman" w:hAnsi="Times New Roman" w:cs="Times New Roman"/>
        <w:noProof/>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0C023A"/>
    <w:rsid w:val="00033CE2"/>
    <w:rsid w:val="000A0E45"/>
    <w:rsid w:val="000C023A"/>
    <w:rsid w:val="002428DB"/>
    <w:rsid w:val="004D0FF4"/>
    <w:rsid w:val="00543DE3"/>
    <w:rsid w:val="00685096"/>
    <w:rsid w:val="006E4FDF"/>
    <w:rsid w:val="007C7EF7"/>
    <w:rsid w:val="00827B8D"/>
    <w:rsid w:val="008B1BE5"/>
    <w:rsid w:val="00A939EF"/>
    <w:rsid w:val="00DB5335"/>
    <w:rsid w:val="00DE07B5"/>
    <w:rsid w:val="00E14B6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533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43DE3"/>
    <w:pPr>
      <w:tabs>
        <w:tab w:val="center" w:pos="4680"/>
        <w:tab w:val="right" w:pos="9360"/>
      </w:tabs>
      <w:spacing w:after="0" w:line="240" w:lineRule="auto"/>
    </w:pPr>
  </w:style>
  <w:style w:type="character" w:customStyle="1" w:styleId="HeaderChar">
    <w:name w:val="Header Char"/>
    <w:basedOn w:val="DefaultParagraphFont"/>
    <w:link w:val="Header"/>
    <w:uiPriority w:val="99"/>
    <w:rsid w:val="00543DE3"/>
  </w:style>
  <w:style w:type="paragraph" w:styleId="Footer">
    <w:name w:val="footer"/>
    <w:basedOn w:val="Normal"/>
    <w:link w:val="FooterChar"/>
    <w:uiPriority w:val="99"/>
    <w:unhideWhenUsed/>
    <w:rsid w:val="00543DE3"/>
    <w:pPr>
      <w:tabs>
        <w:tab w:val="center" w:pos="4680"/>
        <w:tab w:val="right" w:pos="9360"/>
      </w:tabs>
      <w:spacing w:after="0" w:line="240" w:lineRule="auto"/>
    </w:pPr>
  </w:style>
  <w:style w:type="character" w:customStyle="1" w:styleId="FooterChar">
    <w:name w:val="Footer Char"/>
    <w:basedOn w:val="DefaultParagraphFont"/>
    <w:link w:val="Footer"/>
    <w:uiPriority w:val="99"/>
    <w:rsid w:val="00543DE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43DE3"/>
    <w:pPr>
      <w:tabs>
        <w:tab w:val="center" w:pos="4680"/>
        <w:tab w:val="right" w:pos="9360"/>
      </w:tabs>
      <w:spacing w:after="0" w:line="240" w:lineRule="auto"/>
    </w:pPr>
  </w:style>
  <w:style w:type="character" w:customStyle="1" w:styleId="HeaderChar">
    <w:name w:val="Header Char"/>
    <w:basedOn w:val="DefaultParagraphFont"/>
    <w:link w:val="Header"/>
    <w:uiPriority w:val="99"/>
    <w:rsid w:val="00543DE3"/>
  </w:style>
  <w:style w:type="paragraph" w:styleId="Footer">
    <w:name w:val="footer"/>
    <w:basedOn w:val="Normal"/>
    <w:link w:val="FooterChar"/>
    <w:uiPriority w:val="99"/>
    <w:unhideWhenUsed/>
    <w:rsid w:val="00543DE3"/>
    <w:pPr>
      <w:tabs>
        <w:tab w:val="center" w:pos="4680"/>
        <w:tab w:val="right" w:pos="9360"/>
      </w:tabs>
      <w:spacing w:after="0" w:line="240" w:lineRule="auto"/>
    </w:pPr>
  </w:style>
  <w:style w:type="character" w:customStyle="1" w:styleId="FooterChar">
    <w:name w:val="Footer Char"/>
    <w:basedOn w:val="DefaultParagraphFont"/>
    <w:link w:val="Footer"/>
    <w:uiPriority w:val="99"/>
    <w:rsid w:val="00543DE3"/>
  </w:style>
</w:styles>
</file>

<file path=word/webSettings.xml><?xml version="1.0" encoding="utf-8"?>
<w:webSettings xmlns:r="http://schemas.openxmlformats.org/officeDocument/2006/relationships" xmlns:w="http://schemas.openxmlformats.org/wordprocessingml/2006/main">
  <w:divs>
    <w:div w:id="1342970884">
      <w:bodyDiv w:val="1"/>
      <w:marLeft w:val="0"/>
      <w:marRight w:val="0"/>
      <w:marTop w:val="0"/>
      <w:marBottom w:val="0"/>
      <w:divBdr>
        <w:top w:val="none" w:sz="0" w:space="0" w:color="auto"/>
        <w:left w:val="none" w:sz="0" w:space="0" w:color="auto"/>
        <w:bottom w:val="none" w:sz="0" w:space="0" w:color="auto"/>
        <w:right w:val="none" w:sz="0" w:space="0" w:color="auto"/>
      </w:divBdr>
      <w:divsChild>
        <w:div w:id="1312295311">
          <w:marLeft w:val="0"/>
          <w:marRight w:val="0"/>
          <w:marTop w:val="0"/>
          <w:marBottom w:val="0"/>
          <w:divBdr>
            <w:top w:val="none" w:sz="0" w:space="0" w:color="auto"/>
            <w:left w:val="none" w:sz="0" w:space="0" w:color="auto"/>
            <w:bottom w:val="none" w:sz="0" w:space="0" w:color="auto"/>
            <w:right w:val="none" w:sz="0" w:space="0" w:color="auto"/>
          </w:divBdr>
        </w:div>
      </w:divsChild>
    </w:div>
    <w:div w:id="1938756064">
      <w:bodyDiv w:val="1"/>
      <w:marLeft w:val="0"/>
      <w:marRight w:val="0"/>
      <w:marTop w:val="0"/>
      <w:marBottom w:val="0"/>
      <w:divBdr>
        <w:top w:val="none" w:sz="0" w:space="0" w:color="auto"/>
        <w:left w:val="none" w:sz="0" w:space="0" w:color="auto"/>
        <w:bottom w:val="none" w:sz="0" w:space="0" w:color="auto"/>
        <w:right w:val="none" w:sz="0" w:space="0" w:color="auto"/>
      </w:divBdr>
      <w:divsChild>
        <w:div w:id="44407720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565</Words>
  <Characters>3225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Kevin</cp:lastModifiedBy>
  <cp:revision>2</cp:revision>
  <dcterms:created xsi:type="dcterms:W3CDTF">2020-12-23T07:39:00Z</dcterms:created>
  <dcterms:modified xsi:type="dcterms:W3CDTF">2020-12-23T07:39:00Z</dcterms:modified>
</cp:coreProperties>
</file>